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3A093E" w:rsidP="006951D8">
            <w:pPr>
              <w:tabs>
                <w:tab w:val="left" w:pos="4007"/>
              </w:tabs>
              <w:spacing w:after="0" w:line="240" w:lineRule="auto"/>
            </w:pPr>
            <w:r>
              <w:t>21</w:t>
            </w:r>
            <w:r w:rsidR="00B37F81">
              <w:t>.</w:t>
            </w:r>
            <w:r>
              <w:t>10.</w:t>
            </w:r>
            <w:r w:rsidR="00B37F81">
              <w:t>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62716A" w:rsidP="006951D8">
            <w:pPr>
              <w:tabs>
                <w:tab w:val="left" w:pos="4007"/>
              </w:tabs>
              <w:spacing w:after="0" w:line="240" w:lineRule="auto"/>
            </w:pPr>
            <w:r>
              <w:t>Zborovňa II. stupňa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505E56" w:rsidRPr="00505E56" w:rsidRDefault="00505E56" w:rsidP="007B6C7D">
            <w:pPr>
              <w:tabs>
                <w:tab w:val="left" w:pos="1114"/>
              </w:tabs>
              <w:spacing w:after="0" w:line="240" w:lineRule="auto"/>
              <w:rPr>
                <w:rFonts w:ascii="Times New Roman" w:hAnsi="Times New Roman"/>
                <w:b/>
              </w:rPr>
            </w:pPr>
          </w:p>
          <w:p w:rsidR="00A57496" w:rsidRDefault="003A093E" w:rsidP="00A57496">
            <w:pPr>
              <w:tabs>
                <w:tab w:val="left" w:pos="1114"/>
              </w:tabs>
              <w:spacing w:after="0" w:line="240" w:lineRule="auto"/>
              <w:rPr>
                <w:rFonts w:ascii="Times New Roman" w:hAnsi="Times New Roman"/>
              </w:rPr>
            </w:pPr>
            <w:r>
              <w:rPr>
                <w:rFonts w:ascii="Times New Roman" w:hAnsi="Times New Roman"/>
              </w:rPr>
              <w:t>Cieľom zasadnutia klubu  je analyzovať efektívnosť jazykových  hier</w:t>
            </w:r>
            <w:r w:rsidR="00505E56">
              <w:rPr>
                <w:rFonts w:ascii="Times New Roman" w:hAnsi="Times New Roman"/>
              </w:rPr>
              <w:t xml:space="preserve"> na </w:t>
            </w:r>
            <w:r w:rsidR="00C926BA">
              <w:rPr>
                <w:rFonts w:ascii="Times New Roman" w:hAnsi="Times New Roman"/>
              </w:rPr>
              <w:t>hodinách slovenského jazyka na I. a II</w:t>
            </w:r>
            <w:r w:rsidR="00505E56">
              <w:rPr>
                <w:rFonts w:ascii="Times New Roman" w:hAnsi="Times New Roman"/>
              </w:rPr>
              <w:t>.</w:t>
            </w:r>
            <w:r>
              <w:rPr>
                <w:rFonts w:ascii="Times New Roman" w:hAnsi="Times New Roman"/>
              </w:rPr>
              <w:t xml:space="preserve"> </w:t>
            </w:r>
            <w:r w:rsidR="00505E56">
              <w:rPr>
                <w:rFonts w:ascii="Times New Roman" w:hAnsi="Times New Roman"/>
              </w:rPr>
              <w:t>stupni základnej školy.</w:t>
            </w:r>
          </w:p>
          <w:p w:rsidR="00A57496" w:rsidRDefault="00A57496" w:rsidP="00A57496">
            <w:pPr>
              <w:tabs>
                <w:tab w:val="left" w:pos="1114"/>
              </w:tabs>
              <w:spacing w:after="0" w:line="240" w:lineRule="auto"/>
              <w:rPr>
                <w:rFonts w:ascii="Times New Roman" w:hAnsi="Times New Roman"/>
              </w:rPr>
            </w:pPr>
          </w:p>
          <w:p w:rsidR="00505E56" w:rsidRDefault="00505E56" w:rsidP="00505E56">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3A093E">
              <w:rPr>
                <w:rFonts w:ascii="Times New Roman" w:hAnsi="Times New Roman"/>
              </w:rPr>
              <w:t xml:space="preserve"> veta, delenie viet podľa obsahu a podľa zloženia,  jazyková hra, upevňovanie vedomostí o vetách, efektívnosť a vhodnosť jazykových hier</w:t>
            </w:r>
          </w:p>
          <w:p w:rsidR="00A57496" w:rsidRPr="007B6C7D" w:rsidRDefault="007B35E2" w:rsidP="007B6C7D">
            <w:pPr>
              <w:tabs>
                <w:tab w:val="left" w:pos="1114"/>
              </w:tabs>
              <w:spacing w:after="0" w:line="240" w:lineRule="auto"/>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7B6C7D">
            <w:pPr>
              <w:tabs>
                <w:tab w:val="left" w:pos="1114"/>
              </w:tabs>
              <w:spacing w:after="0" w:line="240" w:lineRule="auto"/>
              <w:rPr>
                <w:rFonts w:ascii="Times New Roman" w:hAnsi="Times New Roman"/>
              </w:rPr>
            </w:pPr>
          </w:p>
          <w:p w:rsidR="007B35E2" w:rsidRDefault="00922071" w:rsidP="00922071">
            <w:pPr>
              <w:pStyle w:val="Odsekzoznamu"/>
              <w:numPr>
                <w:ilvl w:val="0"/>
                <w:numId w:val="8"/>
              </w:numPr>
              <w:tabs>
                <w:tab w:val="left" w:pos="1114"/>
              </w:tabs>
              <w:spacing w:after="0"/>
              <w:rPr>
                <w:rFonts w:ascii="Times New Roman" w:hAnsi="Times New Roman"/>
              </w:rPr>
            </w:pPr>
            <w:r>
              <w:rPr>
                <w:rFonts w:ascii="Times New Roman" w:hAnsi="Times New Roman"/>
              </w:rPr>
              <w:t>Veta – delenie viet  podľa rôznych kritérií</w:t>
            </w:r>
          </w:p>
          <w:p w:rsidR="007B35E2" w:rsidRDefault="00922071" w:rsidP="00922071">
            <w:pPr>
              <w:pStyle w:val="Odsekzoznamu"/>
              <w:numPr>
                <w:ilvl w:val="0"/>
                <w:numId w:val="8"/>
              </w:numPr>
              <w:tabs>
                <w:tab w:val="left" w:pos="1114"/>
              </w:tabs>
              <w:spacing w:after="0"/>
              <w:rPr>
                <w:rFonts w:ascii="Times New Roman" w:hAnsi="Times New Roman"/>
              </w:rPr>
            </w:pPr>
            <w:r>
              <w:rPr>
                <w:rFonts w:ascii="Times New Roman" w:hAnsi="Times New Roman"/>
              </w:rPr>
              <w:t>Jazykové hry pri upevňovaní vedomostí o vetách</w:t>
            </w:r>
          </w:p>
          <w:p w:rsidR="007B35E2" w:rsidRDefault="00922071" w:rsidP="00922071">
            <w:pPr>
              <w:pStyle w:val="Odsekzoznamu"/>
              <w:numPr>
                <w:ilvl w:val="0"/>
                <w:numId w:val="8"/>
              </w:numPr>
              <w:tabs>
                <w:tab w:val="left" w:pos="1114"/>
              </w:tabs>
              <w:spacing w:after="0"/>
              <w:rPr>
                <w:rFonts w:ascii="Times New Roman" w:hAnsi="Times New Roman"/>
              </w:rPr>
            </w:pPr>
            <w:r>
              <w:rPr>
                <w:rFonts w:ascii="Times New Roman" w:hAnsi="Times New Roman"/>
              </w:rPr>
              <w:t>Efektívnosť a vhodnosť jazykových hier pri upevňovaní vedomostí o vetách</w:t>
            </w:r>
          </w:p>
          <w:p w:rsidR="007B35E2" w:rsidRDefault="007B35E2" w:rsidP="00922071">
            <w:pPr>
              <w:pStyle w:val="Odsekzoznamu"/>
              <w:tabs>
                <w:tab w:val="left" w:pos="1114"/>
              </w:tabs>
              <w:spacing w:after="0"/>
              <w:rPr>
                <w:rFonts w:ascii="Times New Roman" w:hAnsi="Times New Roman"/>
              </w:rPr>
            </w:pPr>
          </w:p>
          <w:p w:rsidR="00A260BA" w:rsidRDefault="00922071" w:rsidP="00922071">
            <w:pPr>
              <w:pStyle w:val="Odsekzoznamu"/>
              <w:tabs>
                <w:tab w:val="left" w:pos="1114"/>
              </w:tabs>
              <w:spacing w:after="0"/>
              <w:rPr>
                <w:rFonts w:ascii="Times New Roman" w:hAnsi="Times New Roman"/>
              </w:rPr>
            </w:pPr>
            <w:r>
              <w:rPr>
                <w:rFonts w:ascii="Times New Roman" w:hAnsi="Times New Roman"/>
              </w:rPr>
              <w:tab/>
            </w:r>
          </w:p>
          <w:p w:rsidR="00A260BA" w:rsidRPr="00A260BA" w:rsidRDefault="003A093E" w:rsidP="00922071">
            <w:pPr>
              <w:tabs>
                <w:tab w:val="left" w:pos="1114"/>
              </w:tabs>
              <w:spacing w:after="0"/>
              <w:rPr>
                <w:rFonts w:ascii="Times New Roman" w:hAnsi="Times New Roman"/>
              </w:rPr>
            </w:pPr>
            <w:r>
              <w:rPr>
                <w:rFonts w:ascii="Times New Roman" w:hAnsi="Times New Roman"/>
              </w:rPr>
              <w:t xml:space="preserve">      Téma stretnutia: Syntaktická/skladobná rovina</w:t>
            </w:r>
          </w:p>
          <w:p w:rsidR="007B35E2" w:rsidRDefault="007B35E2" w:rsidP="00922071">
            <w:pPr>
              <w:tabs>
                <w:tab w:val="left" w:pos="1114"/>
              </w:tabs>
              <w:spacing w:after="0"/>
              <w:rPr>
                <w:rFonts w:ascii="Times New Roman" w:hAnsi="Times New Roman"/>
              </w:rPr>
            </w:pPr>
          </w:p>
          <w:p w:rsidR="00A06F57" w:rsidRDefault="00BA3D81" w:rsidP="00922071">
            <w:pPr>
              <w:tabs>
                <w:tab w:val="left" w:pos="1114"/>
              </w:tabs>
              <w:spacing w:after="0"/>
              <w:jc w:val="both"/>
              <w:rPr>
                <w:rFonts w:ascii="Times New Roman" w:hAnsi="Times New Roman"/>
              </w:rPr>
            </w:pPr>
            <w:r>
              <w:rPr>
                <w:rFonts w:ascii="Times New Roman" w:hAnsi="Times New Roman"/>
              </w:rPr>
              <w:t xml:space="preserve">     V úvode</w:t>
            </w:r>
            <w:r w:rsidR="007B35E2">
              <w:rPr>
                <w:rFonts w:ascii="Times New Roman" w:hAnsi="Times New Roman"/>
              </w:rPr>
              <w:t xml:space="preserve"> </w:t>
            </w:r>
            <w:r w:rsidR="003A093E">
              <w:rPr>
                <w:rFonts w:ascii="Times New Roman" w:hAnsi="Times New Roman"/>
              </w:rPr>
              <w:t xml:space="preserve">zasadnutia si vyučujúce porovnali skúsenosti s používaním a tvorbou viet na oboch stupňoch základnej školy. V nižších ročníkoch žiaci ovládajú </w:t>
            </w:r>
            <w:r w:rsidR="00A06F57">
              <w:rPr>
                <w:rFonts w:ascii="Times New Roman" w:hAnsi="Times New Roman"/>
              </w:rPr>
              <w:t>delenie viet podľa obsahu, s touto témou sa oboznamujú aj prostredníctvom interpunkčných znamienok na konci viet. Na 2. stupni sa vedomosti o vetách rozširujú o delenie podľa zloženia, členitosti. Takisto sa táto téma špirálovito prelína s témou vetných členov a súvetí.</w:t>
            </w:r>
          </w:p>
          <w:p w:rsidR="00F305BB" w:rsidRPr="007B6C7D" w:rsidRDefault="00A06F57" w:rsidP="00922071">
            <w:pPr>
              <w:tabs>
                <w:tab w:val="left" w:pos="1114"/>
              </w:tabs>
              <w:spacing w:after="0"/>
              <w:jc w:val="both"/>
              <w:rPr>
                <w:rFonts w:ascii="Times New Roman" w:hAnsi="Times New Roman"/>
              </w:rPr>
            </w:pPr>
            <w:r>
              <w:rPr>
                <w:rFonts w:ascii="Times New Roman" w:hAnsi="Times New Roman"/>
              </w:rPr>
              <w:t xml:space="preserve">     Všetky vyučujúce sa zhodli, že žiaci vo vybraných ročníkoch sa radi zapájajú do didaktických hier, keďže sú spojením detskej hry a vyučovania. Žiakom tieto hry pomáhajú upevňovať a prehlbovať získané vedomosti. Na stretnutí odznel názor, že jazykové hry o vetách je vhodné zaradiť do vyučovania najmä pri polročnom alebo koncoročnom opakovaní. Osvedčilo sa ich použitie aj pri upevňovaní tematického celku. Takisto odznel názor, že nie je vhodné, aby jazykové hry zamerané na upevňovanie učiva o</w:t>
            </w:r>
            <w:r w:rsidR="00BA3D81">
              <w:rPr>
                <w:rFonts w:ascii="Times New Roman" w:hAnsi="Times New Roman"/>
              </w:rPr>
              <w:t> </w:t>
            </w:r>
            <w:r>
              <w:rPr>
                <w:rFonts w:ascii="Times New Roman" w:hAnsi="Times New Roman"/>
              </w:rPr>
              <w:t>vetách</w:t>
            </w:r>
            <w:r w:rsidR="00BA3D81">
              <w:rPr>
                <w:rFonts w:ascii="Times New Roman" w:hAnsi="Times New Roman"/>
              </w:rPr>
              <w:t xml:space="preserve"> trvali dlho, pretože môžu žiakov unaviť. A rovnako dôležité je aj to, aby si žiaci pri hrách nielen zopakovali učivo o vetách, ale aj nenásilnou formou si zasúťažili a zahrali sa.</w:t>
            </w:r>
            <w:r>
              <w:rPr>
                <w:rFonts w:ascii="Times New Roman" w:hAnsi="Times New Roman"/>
              </w:rPr>
              <w:t xml:space="preserve"> </w:t>
            </w:r>
          </w:p>
          <w:p w:rsidR="003A093E" w:rsidRDefault="003A093E" w:rsidP="003A093E">
            <w:pPr>
              <w:pStyle w:val="Normlnywebov"/>
            </w:pPr>
            <w:r>
              <w:t> </w:t>
            </w:r>
          </w:p>
          <w:p w:rsidR="003A093E" w:rsidRDefault="003A093E" w:rsidP="003A093E">
            <w:pPr>
              <w:pStyle w:val="Normlnywebov"/>
            </w:pPr>
            <w:r>
              <w:t> </w:t>
            </w: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BA3D81"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BA3D81" w:rsidRPr="002F1107" w:rsidRDefault="00922071" w:rsidP="00F1207D">
            <w:pPr>
              <w:pStyle w:val="Normlnywebov"/>
              <w:spacing w:line="276" w:lineRule="auto"/>
              <w:jc w:val="both"/>
              <w:rPr>
                <w:sz w:val="22"/>
                <w:szCs w:val="22"/>
              </w:rPr>
            </w:pPr>
            <w:r w:rsidRPr="002F1107">
              <w:rPr>
                <w:sz w:val="22"/>
                <w:szCs w:val="22"/>
              </w:rPr>
              <w:t xml:space="preserve">     Členky klubu sa zhodli, že pomocou jazykových hier je možné upevniť  učivo o vetách,</w:t>
            </w:r>
            <w:r w:rsidR="00BA3D81" w:rsidRPr="002F1107">
              <w:rPr>
                <w:sz w:val="22"/>
                <w:szCs w:val="22"/>
              </w:rPr>
              <w:t xml:space="preserve"> ktoré žia</w:t>
            </w:r>
            <w:r w:rsidRPr="002F1107">
              <w:rPr>
                <w:sz w:val="22"/>
                <w:szCs w:val="22"/>
              </w:rPr>
              <w:t>ci práve v škole preberajú. Pri spojení učenia s hrou dochádza k vytvoreniu jazykovej hry, ktorá je vhodným doplnkom</w:t>
            </w:r>
            <w:r w:rsidR="00BA3D81" w:rsidRPr="002F1107">
              <w:rPr>
                <w:sz w:val="22"/>
                <w:szCs w:val="22"/>
              </w:rPr>
              <w:t xml:space="preserve"> vyučovacích metód. </w:t>
            </w:r>
            <w:r w:rsidRPr="002F1107">
              <w:rPr>
                <w:sz w:val="22"/>
                <w:szCs w:val="22"/>
              </w:rPr>
              <w:t>Tiež je vhodné opakovať učivo formou hier pravidelne.</w:t>
            </w:r>
            <w:r w:rsidR="00BA3D81" w:rsidRPr="002F1107">
              <w:rPr>
                <w:sz w:val="22"/>
                <w:szCs w:val="22"/>
              </w:rPr>
              <w:t xml:space="preserve">  </w:t>
            </w:r>
            <w:r w:rsidRPr="002F1107">
              <w:rPr>
                <w:sz w:val="22"/>
                <w:szCs w:val="22"/>
              </w:rPr>
              <w:t>Jazykovými hrami možno upútať pozornosť žiakov</w:t>
            </w:r>
            <w:r w:rsidR="00BA3D81" w:rsidRPr="002F1107">
              <w:rPr>
                <w:sz w:val="22"/>
                <w:szCs w:val="22"/>
              </w:rPr>
              <w:t>, vštepovať im nové poznatky, zručnosti, stupňovať po</w:t>
            </w:r>
            <w:r w:rsidRPr="002F1107">
              <w:rPr>
                <w:sz w:val="22"/>
                <w:szCs w:val="22"/>
              </w:rPr>
              <w:t xml:space="preserve">žiadavky na ich tvorivú činnosť a </w:t>
            </w:r>
            <w:r w:rsidR="00BA3D81" w:rsidRPr="002F1107">
              <w:rPr>
                <w:sz w:val="22"/>
                <w:szCs w:val="22"/>
              </w:rPr>
              <w:t xml:space="preserve"> rozv</w:t>
            </w:r>
            <w:r w:rsidRPr="002F1107">
              <w:rPr>
                <w:sz w:val="22"/>
                <w:szCs w:val="22"/>
              </w:rPr>
              <w:t>íjať fantáziu.</w:t>
            </w:r>
          </w:p>
          <w:p w:rsidR="00BA3D81" w:rsidRPr="002F1107" w:rsidRDefault="00BA3D81" w:rsidP="00F1207D">
            <w:pPr>
              <w:pStyle w:val="Odsekzoznamu"/>
              <w:tabs>
                <w:tab w:val="left" w:pos="1114"/>
              </w:tabs>
              <w:spacing w:after="0"/>
              <w:jc w:val="both"/>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bl>
    <w:p w:rsidR="00F305BB" w:rsidRDefault="00F305BB" w:rsidP="00B440DB">
      <w:pPr>
        <w:tabs>
          <w:tab w:val="left" w:pos="1114"/>
        </w:tabs>
      </w:pPr>
      <w:r>
        <w:tab/>
      </w:r>
    </w:p>
    <w:p w:rsidR="00457750" w:rsidRDefault="00457750" w:rsidP="00B440DB">
      <w:pPr>
        <w:tabs>
          <w:tab w:val="left" w:pos="1114"/>
        </w:tabs>
      </w:pPr>
    </w:p>
    <w:p w:rsidR="00457750" w:rsidRDefault="00457750" w:rsidP="00B440DB">
      <w:pPr>
        <w:tabs>
          <w:tab w:val="left" w:pos="1114"/>
        </w:tabs>
      </w:pPr>
    </w:p>
    <w:p w:rsidR="00457750" w:rsidRDefault="00457750" w:rsidP="00B440DB">
      <w:pPr>
        <w:tabs>
          <w:tab w:val="left" w:pos="1114"/>
        </w:tabs>
      </w:pPr>
    </w:p>
    <w:p w:rsidR="00457750" w:rsidRDefault="00457750"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457750" w:rsidTr="00457750">
        <w:tc>
          <w:tcPr>
            <w:tcW w:w="4077" w:type="dxa"/>
            <w:tcBorders>
              <w:top w:val="single" w:sz="4" w:space="0" w:color="auto"/>
              <w:left w:val="single" w:sz="4" w:space="0" w:color="auto"/>
              <w:bottom w:val="single" w:sz="4" w:space="0" w:color="auto"/>
              <w:right w:val="single" w:sz="4" w:space="0" w:color="auto"/>
            </w:tcBorders>
            <w:hideMark/>
          </w:tcPr>
          <w:p w:rsidR="00457750" w:rsidRDefault="00457750" w:rsidP="00457750">
            <w:pPr>
              <w:pStyle w:val="Odsekzoznamu"/>
              <w:numPr>
                <w:ilvl w:val="0"/>
                <w:numId w:val="9"/>
              </w:numPr>
              <w:tabs>
                <w:tab w:val="left" w:pos="1114"/>
              </w:tabs>
              <w:spacing w:after="0" w:line="240" w:lineRule="auto"/>
              <w:rPr>
                <w:rFonts w:ascii="Times New Roman" w:hAnsi="Times New Roman"/>
              </w:rPr>
            </w:pPr>
            <w:r>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rsidR="00457750" w:rsidRDefault="00457750">
            <w:pPr>
              <w:tabs>
                <w:tab w:val="left" w:pos="1114"/>
              </w:tabs>
              <w:spacing w:after="0" w:line="240" w:lineRule="auto"/>
            </w:pPr>
            <w:r>
              <w:t>Mgr. Jana Gičová</w:t>
            </w:r>
          </w:p>
        </w:tc>
      </w:tr>
      <w:tr w:rsidR="00457750" w:rsidTr="00457750">
        <w:tc>
          <w:tcPr>
            <w:tcW w:w="4077" w:type="dxa"/>
            <w:tcBorders>
              <w:top w:val="single" w:sz="4" w:space="0" w:color="auto"/>
              <w:left w:val="single" w:sz="4" w:space="0" w:color="auto"/>
              <w:bottom w:val="single" w:sz="4" w:space="0" w:color="auto"/>
              <w:right w:val="single" w:sz="4" w:space="0" w:color="auto"/>
            </w:tcBorders>
            <w:hideMark/>
          </w:tcPr>
          <w:p w:rsidR="00457750" w:rsidRDefault="00457750" w:rsidP="00457750">
            <w:pPr>
              <w:pStyle w:val="Odsekzoznamu"/>
              <w:numPr>
                <w:ilvl w:val="0"/>
                <w:numId w:val="9"/>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457750" w:rsidRDefault="00457750" w:rsidP="00457750">
            <w:pPr>
              <w:tabs>
                <w:tab w:val="left" w:pos="1114"/>
              </w:tabs>
              <w:spacing w:after="0" w:line="240" w:lineRule="auto"/>
            </w:pPr>
            <w:r>
              <w:t>22.10</w:t>
            </w:r>
            <w:r>
              <w:t>.2019</w:t>
            </w:r>
          </w:p>
        </w:tc>
      </w:tr>
      <w:tr w:rsidR="00457750" w:rsidTr="00457750">
        <w:tc>
          <w:tcPr>
            <w:tcW w:w="4077" w:type="dxa"/>
            <w:tcBorders>
              <w:top w:val="single" w:sz="4" w:space="0" w:color="auto"/>
              <w:left w:val="single" w:sz="4" w:space="0" w:color="auto"/>
              <w:bottom w:val="single" w:sz="4" w:space="0" w:color="auto"/>
              <w:right w:val="single" w:sz="4" w:space="0" w:color="auto"/>
            </w:tcBorders>
            <w:hideMark/>
          </w:tcPr>
          <w:p w:rsidR="00457750" w:rsidRDefault="00457750" w:rsidP="00457750">
            <w:pPr>
              <w:pStyle w:val="Odsekzoznamu"/>
              <w:numPr>
                <w:ilvl w:val="0"/>
                <w:numId w:val="9"/>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457750" w:rsidRDefault="00457750">
            <w:pPr>
              <w:tabs>
                <w:tab w:val="left" w:pos="1114"/>
              </w:tabs>
              <w:spacing w:after="0" w:line="240" w:lineRule="auto"/>
            </w:pPr>
          </w:p>
        </w:tc>
      </w:tr>
      <w:tr w:rsidR="00457750" w:rsidTr="00457750">
        <w:tc>
          <w:tcPr>
            <w:tcW w:w="4077" w:type="dxa"/>
            <w:tcBorders>
              <w:top w:val="single" w:sz="4" w:space="0" w:color="auto"/>
              <w:left w:val="single" w:sz="4" w:space="0" w:color="auto"/>
              <w:bottom w:val="single" w:sz="4" w:space="0" w:color="auto"/>
              <w:right w:val="single" w:sz="4" w:space="0" w:color="auto"/>
            </w:tcBorders>
            <w:hideMark/>
          </w:tcPr>
          <w:p w:rsidR="00457750" w:rsidRDefault="00457750" w:rsidP="00457750">
            <w:pPr>
              <w:pStyle w:val="Odsekzoznamu"/>
              <w:numPr>
                <w:ilvl w:val="0"/>
                <w:numId w:val="9"/>
              </w:numPr>
              <w:tabs>
                <w:tab w:val="left" w:pos="1114"/>
              </w:tabs>
              <w:spacing w:after="0" w:line="240" w:lineRule="auto"/>
              <w:rPr>
                <w:rFonts w:ascii="Times New Roman" w:hAnsi="Times New Roman"/>
              </w:rPr>
            </w:pPr>
            <w:r>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hideMark/>
          </w:tcPr>
          <w:p w:rsidR="00457750" w:rsidRDefault="00457750">
            <w:pPr>
              <w:tabs>
                <w:tab w:val="left" w:pos="1114"/>
              </w:tabs>
              <w:spacing w:after="0" w:line="240" w:lineRule="auto"/>
            </w:pPr>
            <w:r>
              <w:t>RNDr. Miriam Melišová</w:t>
            </w:r>
          </w:p>
        </w:tc>
      </w:tr>
      <w:tr w:rsidR="00457750" w:rsidTr="00457750">
        <w:tc>
          <w:tcPr>
            <w:tcW w:w="4077" w:type="dxa"/>
            <w:tcBorders>
              <w:top w:val="single" w:sz="4" w:space="0" w:color="auto"/>
              <w:left w:val="single" w:sz="4" w:space="0" w:color="auto"/>
              <w:bottom w:val="single" w:sz="4" w:space="0" w:color="auto"/>
              <w:right w:val="single" w:sz="4" w:space="0" w:color="auto"/>
            </w:tcBorders>
            <w:hideMark/>
          </w:tcPr>
          <w:p w:rsidR="00457750" w:rsidRDefault="00457750" w:rsidP="00457750">
            <w:pPr>
              <w:pStyle w:val="Odsekzoznamu"/>
              <w:numPr>
                <w:ilvl w:val="0"/>
                <w:numId w:val="9"/>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457750" w:rsidRDefault="00457750" w:rsidP="00457750">
            <w:pPr>
              <w:tabs>
                <w:tab w:val="left" w:pos="1114"/>
              </w:tabs>
              <w:spacing w:after="0" w:line="240" w:lineRule="auto"/>
            </w:pPr>
            <w:r>
              <w:t>3</w:t>
            </w:r>
            <w:r>
              <w:t>1.10</w:t>
            </w:r>
            <w:r>
              <w:t>.2019</w:t>
            </w:r>
          </w:p>
        </w:tc>
      </w:tr>
      <w:tr w:rsidR="00457750" w:rsidTr="00457750">
        <w:tc>
          <w:tcPr>
            <w:tcW w:w="4077" w:type="dxa"/>
            <w:tcBorders>
              <w:top w:val="single" w:sz="4" w:space="0" w:color="auto"/>
              <w:left w:val="single" w:sz="4" w:space="0" w:color="auto"/>
              <w:bottom w:val="single" w:sz="4" w:space="0" w:color="auto"/>
              <w:right w:val="single" w:sz="4" w:space="0" w:color="auto"/>
            </w:tcBorders>
            <w:hideMark/>
          </w:tcPr>
          <w:p w:rsidR="00457750" w:rsidRDefault="00457750" w:rsidP="00457750">
            <w:pPr>
              <w:pStyle w:val="Odsekzoznamu"/>
              <w:numPr>
                <w:ilvl w:val="0"/>
                <w:numId w:val="9"/>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457750" w:rsidRDefault="00457750">
            <w:pPr>
              <w:tabs>
                <w:tab w:val="left" w:pos="1114"/>
              </w:tabs>
              <w:spacing w:after="0" w:line="240" w:lineRule="auto"/>
            </w:pPr>
          </w:p>
        </w:tc>
      </w:tr>
    </w:tbl>
    <w:p w:rsidR="00457750" w:rsidRDefault="00457750" w:rsidP="00B440DB">
      <w:pPr>
        <w:tabs>
          <w:tab w:val="left" w:pos="1114"/>
        </w:tabs>
      </w:pPr>
    </w:p>
    <w:p w:rsidR="00457750" w:rsidRDefault="00457750" w:rsidP="00B440DB">
      <w:pPr>
        <w:tabs>
          <w:tab w:val="left" w:pos="1114"/>
        </w:tabs>
      </w:pPr>
    </w:p>
    <w:p w:rsidR="00457750" w:rsidRDefault="00457750" w:rsidP="00B440DB">
      <w:pPr>
        <w:tabs>
          <w:tab w:val="left" w:pos="1114"/>
        </w:tabs>
      </w:pPr>
    </w:p>
    <w:p w:rsidR="00457750" w:rsidRDefault="00457750"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AB4AEC" w:rsidRDefault="00F305BB" w:rsidP="00AB4AEC">
      <w:pPr>
        <w:tabs>
          <w:tab w:val="left" w:pos="1114"/>
        </w:tabs>
      </w:pPr>
      <w:r>
        <w:rPr>
          <w:rFonts w:ascii="Times New Roman" w:hAnsi="Times New Roman"/>
        </w:rPr>
        <w:t>Prezenčná listina zo stretnutia pedagogického klubu</w:t>
      </w:r>
    </w:p>
    <w:p w:rsidR="00F305BB" w:rsidRDefault="00F305BB" w:rsidP="0055263C">
      <w:pPr>
        <w:pStyle w:val="Odsekzoznamu"/>
        <w:tabs>
          <w:tab w:val="left" w:pos="1114"/>
        </w:tabs>
        <w:rPr>
          <w:rFonts w:ascii="Times New Roman" w:hAnsi="Times New Roman"/>
        </w:rPr>
      </w:pPr>
      <w:bookmarkStart w:id="0" w:name="_GoBack"/>
      <w:bookmarkEnd w:id="0"/>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D8" w:rsidRDefault="00B625D8" w:rsidP="00CF35D8">
      <w:pPr>
        <w:spacing w:after="0" w:line="240" w:lineRule="auto"/>
      </w:pPr>
      <w:r>
        <w:separator/>
      </w:r>
    </w:p>
  </w:endnote>
  <w:endnote w:type="continuationSeparator" w:id="0">
    <w:p w:rsidR="00B625D8" w:rsidRDefault="00B625D8"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D8" w:rsidRDefault="00B625D8" w:rsidP="00CF35D8">
      <w:pPr>
        <w:spacing w:after="0" w:line="240" w:lineRule="auto"/>
      </w:pPr>
      <w:r>
        <w:separator/>
      </w:r>
    </w:p>
  </w:footnote>
  <w:footnote w:type="continuationSeparator" w:id="0">
    <w:p w:rsidR="00B625D8" w:rsidRDefault="00B625D8"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3B89"/>
    <w:rsid w:val="000D4D3E"/>
    <w:rsid w:val="000E6FBF"/>
    <w:rsid w:val="000F127B"/>
    <w:rsid w:val="0010151A"/>
    <w:rsid w:val="00137050"/>
    <w:rsid w:val="00151F6C"/>
    <w:rsid w:val="001544C0"/>
    <w:rsid w:val="001556D3"/>
    <w:rsid w:val="001620FF"/>
    <w:rsid w:val="001745A4"/>
    <w:rsid w:val="00195BD6"/>
    <w:rsid w:val="001A5EA2"/>
    <w:rsid w:val="001B69AF"/>
    <w:rsid w:val="001D498E"/>
    <w:rsid w:val="00203036"/>
    <w:rsid w:val="00225CD9"/>
    <w:rsid w:val="002300DE"/>
    <w:rsid w:val="00236E87"/>
    <w:rsid w:val="002A5F75"/>
    <w:rsid w:val="002D7F9B"/>
    <w:rsid w:val="002D7FC6"/>
    <w:rsid w:val="002E3F1A"/>
    <w:rsid w:val="002F1107"/>
    <w:rsid w:val="00311D2F"/>
    <w:rsid w:val="0034733D"/>
    <w:rsid w:val="003700F7"/>
    <w:rsid w:val="003A093E"/>
    <w:rsid w:val="003F10E0"/>
    <w:rsid w:val="003F3FDD"/>
    <w:rsid w:val="0042228E"/>
    <w:rsid w:val="00423CC3"/>
    <w:rsid w:val="00446402"/>
    <w:rsid w:val="00457750"/>
    <w:rsid w:val="004C05D7"/>
    <w:rsid w:val="004F368A"/>
    <w:rsid w:val="00505E56"/>
    <w:rsid w:val="00507CF5"/>
    <w:rsid w:val="005361EC"/>
    <w:rsid w:val="00541786"/>
    <w:rsid w:val="0055263C"/>
    <w:rsid w:val="00583AF0"/>
    <w:rsid w:val="0058712F"/>
    <w:rsid w:val="00592E27"/>
    <w:rsid w:val="005C355B"/>
    <w:rsid w:val="00624631"/>
    <w:rsid w:val="0062716A"/>
    <w:rsid w:val="006377DA"/>
    <w:rsid w:val="006951D8"/>
    <w:rsid w:val="006A3977"/>
    <w:rsid w:val="006B6CBE"/>
    <w:rsid w:val="006C7C6E"/>
    <w:rsid w:val="006D2BEB"/>
    <w:rsid w:val="006D3E0F"/>
    <w:rsid w:val="006E77C5"/>
    <w:rsid w:val="007A1BEC"/>
    <w:rsid w:val="007A5170"/>
    <w:rsid w:val="007A6CFA"/>
    <w:rsid w:val="007B35E2"/>
    <w:rsid w:val="007B6C7D"/>
    <w:rsid w:val="007D472C"/>
    <w:rsid w:val="008058B8"/>
    <w:rsid w:val="008463AB"/>
    <w:rsid w:val="00865F49"/>
    <w:rsid w:val="008721DB"/>
    <w:rsid w:val="00893923"/>
    <w:rsid w:val="008C3B1D"/>
    <w:rsid w:val="008C3C41"/>
    <w:rsid w:val="008C3EE4"/>
    <w:rsid w:val="00910B2B"/>
    <w:rsid w:val="00922071"/>
    <w:rsid w:val="0095572B"/>
    <w:rsid w:val="00960B4D"/>
    <w:rsid w:val="00973707"/>
    <w:rsid w:val="009A2DFC"/>
    <w:rsid w:val="009C3018"/>
    <w:rsid w:val="009D786B"/>
    <w:rsid w:val="009F4F76"/>
    <w:rsid w:val="00A06F57"/>
    <w:rsid w:val="00A260BA"/>
    <w:rsid w:val="00A57496"/>
    <w:rsid w:val="00A65F45"/>
    <w:rsid w:val="00A71E3A"/>
    <w:rsid w:val="00A9043F"/>
    <w:rsid w:val="00AB111C"/>
    <w:rsid w:val="00AB4AEC"/>
    <w:rsid w:val="00AD2D26"/>
    <w:rsid w:val="00AF5989"/>
    <w:rsid w:val="00B37F81"/>
    <w:rsid w:val="00B440DB"/>
    <w:rsid w:val="00B45D01"/>
    <w:rsid w:val="00B625D8"/>
    <w:rsid w:val="00B71530"/>
    <w:rsid w:val="00BA3D81"/>
    <w:rsid w:val="00BB5601"/>
    <w:rsid w:val="00BC3058"/>
    <w:rsid w:val="00BE6D7F"/>
    <w:rsid w:val="00BF2F35"/>
    <w:rsid w:val="00BF4683"/>
    <w:rsid w:val="00BF4792"/>
    <w:rsid w:val="00C065E1"/>
    <w:rsid w:val="00C235FB"/>
    <w:rsid w:val="00C45756"/>
    <w:rsid w:val="00C926BA"/>
    <w:rsid w:val="00CA0B4D"/>
    <w:rsid w:val="00CA771E"/>
    <w:rsid w:val="00CB7DA2"/>
    <w:rsid w:val="00CD7D64"/>
    <w:rsid w:val="00CF35D8"/>
    <w:rsid w:val="00D0796E"/>
    <w:rsid w:val="00D22B1F"/>
    <w:rsid w:val="00D5619C"/>
    <w:rsid w:val="00D74E73"/>
    <w:rsid w:val="00DA6ABC"/>
    <w:rsid w:val="00DB5C9F"/>
    <w:rsid w:val="00DD1AA4"/>
    <w:rsid w:val="00DD751D"/>
    <w:rsid w:val="00E36C97"/>
    <w:rsid w:val="00E926D8"/>
    <w:rsid w:val="00EC5730"/>
    <w:rsid w:val="00EE3796"/>
    <w:rsid w:val="00F1207D"/>
    <w:rsid w:val="00F305BB"/>
    <w:rsid w:val="00F36E61"/>
    <w:rsid w:val="00F5298D"/>
    <w:rsid w:val="00F6054B"/>
    <w:rsid w:val="00F61779"/>
    <w:rsid w:val="00F61DCC"/>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5A8D65-B8D7-4203-9485-757DB605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semiHidden/>
    <w:unhideWhenUsed/>
    <w:rsid w:val="003A093E"/>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340856496">
      <w:bodyDiv w:val="1"/>
      <w:marLeft w:val="0"/>
      <w:marRight w:val="0"/>
      <w:marTop w:val="0"/>
      <w:marBottom w:val="0"/>
      <w:divBdr>
        <w:top w:val="none" w:sz="0" w:space="0" w:color="auto"/>
        <w:left w:val="none" w:sz="0" w:space="0" w:color="auto"/>
        <w:bottom w:val="none" w:sz="0" w:space="0" w:color="auto"/>
        <w:right w:val="none" w:sz="0" w:space="0" w:color="auto"/>
      </w:divBdr>
    </w:div>
    <w:div w:id="785851394">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9862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462</Words>
  <Characters>2637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client</cp:lastModifiedBy>
  <cp:revision>6</cp:revision>
  <cp:lastPrinted>2017-07-21T06:21:00Z</cp:lastPrinted>
  <dcterms:created xsi:type="dcterms:W3CDTF">2019-11-03T16:02:00Z</dcterms:created>
  <dcterms:modified xsi:type="dcterms:W3CDTF">2020-02-17T10:14:00Z</dcterms:modified>
</cp:coreProperties>
</file>